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62" w:rsidRDefault="00FE6462" w:rsidP="007551C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7551CB">
        <w:rPr>
          <w:rFonts w:ascii="Times New Roman" w:hAnsi="Times New Roman"/>
          <w:b/>
          <w:bCs/>
          <w:lang w:eastAsia="ru-RU"/>
        </w:rPr>
        <w:t>Техническое задание на оказание услуг по</w:t>
      </w:r>
      <w:r w:rsidR="00FC1CDF">
        <w:rPr>
          <w:rFonts w:ascii="Times New Roman" w:hAnsi="Times New Roman"/>
          <w:b/>
          <w:bCs/>
          <w:lang w:eastAsia="ru-RU"/>
        </w:rPr>
        <w:t xml:space="preserve"> разработке концепции и созданию</w:t>
      </w:r>
      <w:r w:rsidRPr="007551CB">
        <w:rPr>
          <w:rFonts w:ascii="Times New Roman" w:hAnsi="Times New Roman"/>
          <w:b/>
          <w:bCs/>
          <w:lang w:eastAsia="ru-RU"/>
        </w:rPr>
        <w:t xml:space="preserve"> нагрудных </w:t>
      </w:r>
      <w:r w:rsidR="00855000" w:rsidRPr="007551CB">
        <w:rPr>
          <w:rFonts w:ascii="Times New Roman" w:hAnsi="Times New Roman"/>
          <w:b/>
          <w:bCs/>
          <w:lang w:eastAsia="ru-RU"/>
        </w:rPr>
        <w:t>значков</w:t>
      </w:r>
      <w:r w:rsidRPr="007551CB">
        <w:rPr>
          <w:rFonts w:ascii="Times New Roman" w:hAnsi="Times New Roman"/>
          <w:b/>
          <w:bCs/>
          <w:lang w:eastAsia="ru-RU"/>
        </w:rPr>
        <w:t xml:space="preserve"> с символикой Группы «</w:t>
      </w:r>
      <w:proofErr w:type="spellStart"/>
      <w:r w:rsidRPr="007551CB">
        <w:rPr>
          <w:rFonts w:ascii="Times New Roman" w:hAnsi="Times New Roman"/>
          <w:b/>
          <w:bCs/>
          <w:lang w:eastAsia="ru-RU"/>
        </w:rPr>
        <w:t>Трансойл</w:t>
      </w:r>
      <w:proofErr w:type="spellEnd"/>
      <w:r w:rsidRPr="007551CB">
        <w:rPr>
          <w:rFonts w:ascii="Times New Roman" w:hAnsi="Times New Roman"/>
          <w:b/>
          <w:bCs/>
          <w:lang w:eastAsia="ru-RU"/>
        </w:rPr>
        <w:t>»</w:t>
      </w:r>
    </w:p>
    <w:p w:rsidR="007551CB" w:rsidRPr="007551CB" w:rsidRDefault="007551CB" w:rsidP="007551C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FE6462" w:rsidTr="007551CB">
        <w:tc>
          <w:tcPr>
            <w:tcW w:w="3114" w:type="dxa"/>
          </w:tcPr>
          <w:p w:rsidR="00FE6462" w:rsidRPr="00855000" w:rsidRDefault="00FE6462" w:rsidP="00842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Описание услуги</w:t>
            </w:r>
          </w:p>
        </w:tc>
        <w:tc>
          <w:tcPr>
            <w:tcW w:w="6633" w:type="dxa"/>
          </w:tcPr>
          <w:p w:rsidR="00FE6462" w:rsidRPr="00855000" w:rsidRDefault="00FE6462" w:rsidP="008427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Технические и функциональные характеристики</w:t>
            </w:r>
          </w:p>
        </w:tc>
      </w:tr>
      <w:tr w:rsidR="00FE6462" w:rsidTr="007551CB">
        <w:trPr>
          <w:trHeight w:val="541"/>
        </w:trPr>
        <w:tc>
          <w:tcPr>
            <w:tcW w:w="3114" w:type="dxa"/>
          </w:tcPr>
          <w:p w:rsidR="00855000" w:rsidRPr="0095433F" w:rsidRDefault="00FE6462" w:rsidP="00FE6462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Разработка </w:t>
            </w:r>
            <w:r w:rsidR="00855000"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креативной </w:t>
            </w: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концепции </w:t>
            </w:r>
            <w:r w:rsidR="00855000"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>и дизайн-макета на основе утвержденного образца</w:t>
            </w:r>
          </w:p>
        </w:tc>
        <w:tc>
          <w:tcPr>
            <w:tcW w:w="6633" w:type="dxa"/>
          </w:tcPr>
          <w:p w:rsidR="00BF4A9C" w:rsidRDefault="00BF4A9C" w:rsidP="00BF4A9C">
            <w:pPr>
              <w:rPr>
                <w:rFonts w:ascii="Times New Roman" w:hAnsi="Times New Roman"/>
                <w:sz w:val="24"/>
                <w:szCs w:val="24"/>
              </w:rPr>
            </w:pPr>
            <w:r w:rsidRPr="0046296A">
              <w:rPr>
                <w:rFonts w:ascii="Times New Roman" w:hAnsi="Times New Roman"/>
                <w:sz w:val="24"/>
                <w:szCs w:val="24"/>
              </w:rPr>
              <w:t>Креативная концепция предполагает премиальный и в то же время инновационный характер</w:t>
            </w:r>
            <w:r>
              <w:rPr>
                <w:rFonts w:ascii="Times New Roman" w:hAnsi="Times New Roman"/>
                <w:sz w:val="24"/>
                <w:szCs w:val="24"/>
              </w:rPr>
              <w:t>. Креативная концепция должна быть построена с учетом цели по формированию символики празднования юбилея Группы (15 лет).</w:t>
            </w:r>
          </w:p>
          <w:p w:rsidR="00BF4A9C" w:rsidRDefault="00BF4A9C" w:rsidP="00B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разработки концепции необходимо создать визуальный образ, через который наилучшим образом будет продемонстрировано динамичное развитие </w:t>
            </w:r>
            <w:r w:rsidR="0095433F">
              <w:rPr>
                <w:rFonts w:ascii="Times New Roman" w:hAnsi="Times New Roman"/>
                <w:sz w:val="24"/>
                <w:szCs w:val="24"/>
              </w:rPr>
              <w:t>Группы и сплоченность коллектива работников в достижении стратегических целей.</w:t>
            </w:r>
          </w:p>
          <w:p w:rsidR="00FE6462" w:rsidRDefault="00BF4A9C" w:rsidP="00B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1DAE">
              <w:rPr>
                <w:rFonts w:ascii="Times New Roman" w:hAnsi="Times New Roman"/>
                <w:sz w:val="24"/>
                <w:szCs w:val="24"/>
              </w:rPr>
              <w:t xml:space="preserve">ри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концепции </w:t>
            </w:r>
            <w:r w:rsidRPr="00D11DAE">
              <w:rPr>
                <w:rFonts w:ascii="Times New Roman" w:hAnsi="Times New Roman"/>
                <w:sz w:val="24"/>
                <w:szCs w:val="24"/>
              </w:rPr>
              <w:t>не предполагается обязательное применение прямых образов с акцентом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433F" w:rsidRDefault="0095433F" w:rsidP="00855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Обязательными являются стилеобразу</w:t>
            </w:r>
            <w:r w:rsidR="00855000">
              <w:rPr>
                <w:rFonts w:ascii="Times New Roman" w:hAnsi="Times New Roman"/>
                <w:sz w:val="24"/>
                <w:szCs w:val="24"/>
              </w:rPr>
              <w:t>ющие элементы в соответствии с Р</w:t>
            </w:r>
            <w:r>
              <w:rPr>
                <w:rFonts w:ascii="Times New Roman" w:hAnsi="Times New Roman"/>
                <w:sz w:val="24"/>
                <w:szCs w:val="24"/>
              </w:rPr>
              <w:t>уководством по использ</w:t>
            </w:r>
            <w:r w:rsidR="00855000">
              <w:rPr>
                <w:rFonts w:ascii="Times New Roman" w:hAnsi="Times New Roman"/>
                <w:sz w:val="24"/>
                <w:szCs w:val="24"/>
              </w:rPr>
              <w:t>ованию фирменного стиля и юбилейным стилем оформления сувенирной и полиграфической продукции Группы.</w:t>
            </w:r>
          </w:p>
          <w:p w:rsidR="00855000" w:rsidRPr="0095433F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подачи креативной концепции предполагает наличие 3-х вариантов исполнения изделия с учетом требований к дизайну.</w:t>
            </w:r>
          </w:p>
        </w:tc>
      </w:tr>
      <w:tr w:rsidR="00FE6462" w:rsidTr="007551CB">
        <w:tc>
          <w:tcPr>
            <w:tcW w:w="3114" w:type="dxa"/>
          </w:tcPr>
          <w:p w:rsidR="00FE6462" w:rsidRPr="00201F38" w:rsidRDefault="00855000" w:rsidP="008427FE">
            <w:pPr>
              <w:rPr>
                <w:rFonts w:ascii="Arial Narrow" w:hAnsi="Arial Narrow"/>
                <w:vertAlign w:val="subscript"/>
              </w:rPr>
            </w:pP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нагрудных значков с символикой Группы «</w:t>
            </w:r>
            <w:proofErr w:type="spellStart"/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>Трансойл</w:t>
            </w:r>
            <w:proofErr w:type="spellEnd"/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855000" w:rsidRPr="00855000" w:rsidRDefault="00855000" w:rsidP="008550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5000">
              <w:rPr>
                <w:rFonts w:ascii="Times New Roman" w:hAnsi="Times New Roman"/>
                <w:sz w:val="24"/>
                <w:szCs w:val="24"/>
                <w:u w:val="single"/>
              </w:rPr>
              <w:t>Общие требования:</w:t>
            </w:r>
          </w:p>
          <w:p w:rsidR="00855000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sz w:val="24"/>
                <w:szCs w:val="24"/>
              </w:rPr>
              <w:t xml:space="preserve">Поверхность основания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должна быть полированной, доведена до блеска. На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 xml:space="preserve"> линий металла, на которых стоят надписи, должна быть нанесена фактура технологией пескоструйной обработки. На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основании не должно быть трещин, царапин, пятен и отслоений покрытия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000" w:rsidRPr="00855000" w:rsidRDefault="00855000" w:rsidP="008550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5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 к материалам производства: </w:t>
            </w:r>
          </w:p>
          <w:p w:rsidR="00855000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изготовлении изделий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 xml:space="preserve"> должны применяться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материалы,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 xml:space="preserve"> не бывшие в употреблении (новые), имеющие сертификат соответствия качества. Изготовленные значки должны отвечать требованиям безопасности, установленным производителем данного вида товаров, что подтверждается в предоставлении вместе с ними необходимых документов (сертификата соответствия, </w:t>
            </w:r>
            <w:proofErr w:type="spellStart"/>
            <w:r w:rsidRPr="00855000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855000">
              <w:rPr>
                <w:rFonts w:ascii="Times New Roman" w:hAnsi="Times New Roman"/>
                <w:sz w:val="24"/>
                <w:szCs w:val="24"/>
              </w:rPr>
              <w:t xml:space="preserve"> - эпидемиологических заключений и т.д.).</w:t>
            </w:r>
          </w:p>
          <w:p w:rsidR="00855000" w:rsidRPr="00855000" w:rsidRDefault="00855000" w:rsidP="0085500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5000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креплению:</w:t>
            </w:r>
          </w:p>
          <w:p w:rsidR="00855000" w:rsidRDefault="00855000" w:rsidP="00755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Предпочтительно – цанговый замок (стопорная иголка и игла для крепления д</w:t>
            </w:r>
            <w:r w:rsidR="007551CB">
              <w:rPr>
                <w:rFonts w:ascii="Times New Roman" w:hAnsi="Times New Roman"/>
                <w:sz w:val="24"/>
                <w:szCs w:val="24"/>
              </w:rPr>
              <w:t>ля крепления значка на одежде).</w:t>
            </w:r>
          </w:p>
          <w:p w:rsidR="00855000" w:rsidRDefault="00855000" w:rsidP="0085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sz w:val="24"/>
                <w:szCs w:val="24"/>
              </w:rPr>
              <w:t>Допускается изменение линейных размеров, и технологий обработки поверхностей при использовании цветных эмалей в производстве значка. Изменения согласовываются с заказчиком перед производством образца.</w:t>
            </w:r>
          </w:p>
          <w:p w:rsidR="00093881" w:rsidRPr="00093881" w:rsidRDefault="00093881" w:rsidP="0085500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3881">
              <w:rPr>
                <w:rFonts w:ascii="Times New Roman" w:hAnsi="Times New Roman"/>
                <w:sz w:val="24"/>
                <w:szCs w:val="24"/>
                <w:u w:val="single"/>
              </w:rPr>
              <w:t>Тираж:</w:t>
            </w:r>
            <w:bookmarkStart w:id="0" w:name="_GoBack"/>
            <w:bookmarkEnd w:id="0"/>
          </w:p>
          <w:p w:rsidR="00093881" w:rsidRPr="00855000" w:rsidRDefault="00093881" w:rsidP="00855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1 750 шт. </w:t>
            </w:r>
          </w:p>
        </w:tc>
      </w:tr>
      <w:tr w:rsidR="00855000" w:rsidTr="007551CB">
        <w:tc>
          <w:tcPr>
            <w:tcW w:w="3114" w:type="dxa"/>
          </w:tcPr>
          <w:p w:rsidR="00855000" w:rsidRDefault="00855000" w:rsidP="008427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Разработка упаковочного </w:t>
            </w:r>
          </w:p>
          <w:p w:rsidR="00855000" w:rsidRPr="00855000" w:rsidRDefault="00855000" w:rsidP="008427FE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t>решения</w:t>
            </w:r>
          </w:p>
        </w:tc>
        <w:tc>
          <w:tcPr>
            <w:tcW w:w="6633" w:type="dxa"/>
          </w:tcPr>
          <w:p w:rsidR="00855000" w:rsidRPr="00855000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sz w:val="24"/>
                <w:szCs w:val="24"/>
              </w:rPr>
              <w:t>Упаковка должна обеспечивать высокий уровень сохранности при транспортировке, от физического и атмосферно-климатического воздействия, а также предохранять от несанкционированного вскрытия без видимого нарушения ее целостности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5000" w:rsidTr="007551CB">
        <w:tc>
          <w:tcPr>
            <w:tcW w:w="3114" w:type="dxa"/>
          </w:tcPr>
          <w:p w:rsidR="00855000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Срок выполнения работ, оказания услуг</w:t>
            </w:r>
          </w:p>
        </w:tc>
        <w:tc>
          <w:tcPr>
            <w:tcW w:w="6633" w:type="dxa"/>
          </w:tcPr>
          <w:p w:rsidR="00855000" w:rsidRPr="00855000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sz w:val="24"/>
                <w:szCs w:val="24"/>
              </w:rPr>
              <w:t>Разработка креативной концепции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 xml:space="preserve"> не позднее 10 рабочих дней с момента подписания сторонами договора.</w:t>
            </w:r>
          </w:p>
          <w:p w:rsidR="00855000" w:rsidRPr="00855000" w:rsidRDefault="00855000" w:rsidP="00855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Pr="00855000">
              <w:rPr>
                <w:rFonts w:ascii="Times New Roman" w:hAnsi="Times New Roman"/>
                <w:sz w:val="24"/>
                <w:szCs w:val="24"/>
              </w:rPr>
              <w:t>нагрудных значков с символикой Группы «</w:t>
            </w:r>
            <w:proofErr w:type="spellStart"/>
            <w:r w:rsidRPr="00855000">
              <w:rPr>
                <w:rFonts w:ascii="Times New Roman" w:hAnsi="Times New Roman"/>
                <w:sz w:val="24"/>
                <w:szCs w:val="24"/>
              </w:rPr>
              <w:t>Трансойл</w:t>
            </w:r>
            <w:proofErr w:type="spellEnd"/>
            <w:r w:rsidRPr="008550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не позднее 30 календарных дней с момента подписания договора.</w:t>
            </w:r>
          </w:p>
        </w:tc>
      </w:tr>
      <w:tr w:rsidR="00855000" w:rsidTr="007551CB">
        <w:tc>
          <w:tcPr>
            <w:tcW w:w="3114" w:type="dxa"/>
          </w:tcPr>
          <w:p w:rsidR="00855000" w:rsidRPr="00855000" w:rsidRDefault="00855000" w:rsidP="00855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000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633" w:type="dxa"/>
          </w:tcPr>
          <w:p w:rsidR="00855000" w:rsidRPr="00855000" w:rsidRDefault="00855000" w:rsidP="00855000">
            <w:pPr>
              <w:rPr>
                <w:rFonts w:ascii="Times New Roman" w:hAnsi="Times New Roman"/>
                <w:sz w:val="24"/>
                <w:szCs w:val="24"/>
              </w:rPr>
            </w:pPr>
            <w:r w:rsidRPr="00855000">
              <w:rPr>
                <w:rFonts w:ascii="Times New Roman" w:hAnsi="Times New Roman"/>
                <w:sz w:val="24"/>
                <w:szCs w:val="24"/>
              </w:rPr>
              <w:t>197046, Санкт-Петербург, Петроградская набережная, д. 18, лит. А</w:t>
            </w:r>
          </w:p>
        </w:tc>
      </w:tr>
    </w:tbl>
    <w:p w:rsidR="00655AEF" w:rsidRDefault="00655AEF" w:rsidP="006A06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5AEF" w:rsidRPr="00655AEF" w:rsidRDefault="00655AEF" w:rsidP="00655A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FF4135" w:rsidRDefault="00FF4135" w:rsidP="00655AEF">
      <w:pPr>
        <w:spacing w:after="0" w:line="240" w:lineRule="auto"/>
        <w:jc w:val="both"/>
        <w:rPr>
          <w:sz w:val="24"/>
          <w:szCs w:val="24"/>
        </w:rPr>
      </w:pPr>
    </w:p>
    <w:sectPr w:rsidR="00FF4135" w:rsidSect="007551C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2"/>
    <w:rsid w:val="0005380E"/>
    <w:rsid w:val="00093881"/>
    <w:rsid w:val="000A172C"/>
    <w:rsid w:val="000B32D9"/>
    <w:rsid w:val="00285243"/>
    <w:rsid w:val="002A00DA"/>
    <w:rsid w:val="00321715"/>
    <w:rsid w:val="00401353"/>
    <w:rsid w:val="005D73EB"/>
    <w:rsid w:val="00655AEF"/>
    <w:rsid w:val="00696633"/>
    <w:rsid w:val="006A06A3"/>
    <w:rsid w:val="007551CB"/>
    <w:rsid w:val="0079240B"/>
    <w:rsid w:val="008179D3"/>
    <w:rsid w:val="00841655"/>
    <w:rsid w:val="008427FE"/>
    <w:rsid w:val="008436D4"/>
    <w:rsid w:val="00855000"/>
    <w:rsid w:val="0095433F"/>
    <w:rsid w:val="00A00AEA"/>
    <w:rsid w:val="00A74C14"/>
    <w:rsid w:val="00AA2C95"/>
    <w:rsid w:val="00AF41BA"/>
    <w:rsid w:val="00BF4A9C"/>
    <w:rsid w:val="00C56F3E"/>
    <w:rsid w:val="00C911C4"/>
    <w:rsid w:val="00CD2A5E"/>
    <w:rsid w:val="00EC5EEF"/>
    <w:rsid w:val="00EF1E5A"/>
    <w:rsid w:val="00F63D52"/>
    <w:rsid w:val="00FC1CDF"/>
    <w:rsid w:val="00FE6462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71F7-E128-41B9-AA28-62D5CBD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A3"/>
    <w:rPr>
      <w:rFonts w:ascii="Proxima Nova ExCn Rg" w:eastAsia="Calibri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41BA"/>
  </w:style>
  <w:style w:type="character" w:customStyle="1" w:styleId="eop">
    <w:name w:val="eop"/>
    <w:basedOn w:val="a0"/>
    <w:rsid w:val="00AF41BA"/>
  </w:style>
  <w:style w:type="paragraph" w:styleId="a3">
    <w:name w:val="Balloon Text"/>
    <w:basedOn w:val="a"/>
    <w:link w:val="a4"/>
    <w:uiPriority w:val="99"/>
    <w:semiHidden/>
    <w:unhideWhenUsed/>
    <w:rsid w:val="008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5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FE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55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5655-9710-466E-AFB7-1DB65B32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Ромашкин Андрей Григорьевич</cp:lastModifiedBy>
  <cp:revision>4</cp:revision>
  <dcterms:created xsi:type="dcterms:W3CDTF">2018-06-13T11:16:00Z</dcterms:created>
  <dcterms:modified xsi:type="dcterms:W3CDTF">2018-06-15T12:39:00Z</dcterms:modified>
</cp:coreProperties>
</file>